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3B" w:rsidRDefault="00351B2F" w:rsidP="00351B2F">
      <w:pPr>
        <w:spacing w:after="0" w:line="240" w:lineRule="auto"/>
      </w:pPr>
      <w:r>
        <w:t>TB</w:t>
      </w:r>
      <w:r w:rsidR="0014261C">
        <w:t>-0</w:t>
      </w:r>
      <w:r w:rsidR="00116652">
        <w:t>4</w:t>
      </w:r>
      <w:r w:rsidR="00EF0EAD">
        <w:t>a</w:t>
      </w:r>
    </w:p>
    <w:p w:rsidR="00351B2F" w:rsidRPr="00351B2F" w:rsidRDefault="0014261C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Radioaktivität</w:t>
      </w:r>
    </w:p>
    <w:p w:rsidR="00351B2F" w:rsidRDefault="00351B2F" w:rsidP="00351B2F">
      <w:pPr>
        <w:spacing w:after="0" w:line="240" w:lineRule="auto"/>
      </w:pPr>
    </w:p>
    <w:p w:rsidR="00E32E7A" w:rsidRDefault="00E32E7A" w:rsidP="00351B2F">
      <w:pPr>
        <w:spacing w:after="0" w:line="240" w:lineRule="auto"/>
      </w:pPr>
    </w:p>
    <w:p w:rsidR="0014261C" w:rsidRPr="0014261C" w:rsidRDefault="0014261C" w:rsidP="00351B2F">
      <w:pPr>
        <w:spacing w:after="0" w:line="240" w:lineRule="auto"/>
        <w:rPr>
          <w:sz w:val="28"/>
          <w:szCs w:val="28"/>
        </w:rPr>
      </w:pPr>
      <w:r w:rsidRPr="0014261C">
        <w:rPr>
          <w:sz w:val="28"/>
          <w:szCs w:val="28"/>
        </w:rPr>
        <w:t>Der 26. April 1986 ist in die Geschichte eingegangen. An diesem Tag ereignete sich im Kernkraftwerk Tscherno</w:t>
      </w:r>
      <w:bookmarkStart w:id="0" w:name="_GoBack"/>
      <w:bookmarkEnd w:id="0"/>
      <w:r w:rsidRPr="0014261C">
        <w:rPr>
          <w:sz w:val="28"/>
          <w:szCs w:val="28"/>
        </w:rPr>
        <w:t>byl im Reaktor Nr. 4 eine Katastrophe. In den ersten Tagen nach dem Unfall wurde sehr viel des radioaktiven Iod-Isotops 131 (Halbwertszeit 8,02 Tage</w:t>
      </w:r>
      <w:r w:rsidR="00DE599A">
        <w:rPr>
          <w:sz w:val="28"/>
          <w:szCs w:val="28"/>
        </w:rPr>
        <w:t xml:space="preserve">, </w:t>
      </w:r>
      <w:r w:rsidR="00DE599A">
        <w:rPr>
          <w:sz w:val="28"/>
          <w:szCs w:val="28"/>
        </w:rPr>
        <w:sym w:font="Symbol" w:char="F062"/>
      </w:r>
      <w:r w:rsidR="00DE599A" w:rsidRPr="00DE599A">
        <w:rPr>
          <w:sz w:val="28"/>
          <w:szCs w:val="28"/>
          <w:vertAlign w:val="superscript"/>
        </w:rPr>
        <w:t>-</w:t>
      </w:r>
      <w:r w:rsidR="00DE599A">
        <w:t> </w:t>
      </w:r>
      <w:r w:rsidR="00DE599A">
        <w:rPr>
          <w:sz w:val="28"/>
          <w:szCs w:val="28"/>
        </w:rPr>
        <w:t>Strahler</w:t>
      </w:r>
      <w:r w:rsidRPr="0014261C">
        <w:rPr>
          <w:sz w:val="28"/>
          <w:szCs w:val="28"/>
        </w:rPr>
        <w:t>) von der Bevölkerung durch die Nahrung aufgenommen.</w:t>
      </w:r>
    </w:p>
    <w:p w:rsidR="0014261C" w:rsidRDefault="0014261C" w:rsidP="00351B2F">
      <w:pPr>
        <w:spacing w:after="0" w:line="240" w:lineRule="auto"/>
      </w:pPr>
    </w:p>
    <w:p w:rsidR="00EB170D" w:rsidRDefault="002E6BE3" w:rsidP="005734C5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Beschreibe wie ein Isotop definiert ist und skizziere die Abnahme der Iod-Isotope in einem Diagramm</w:t>
      </w:r>
      <w:r w:rsidR="00123873">
        <w:rPr>
          <w:b/>
          <w:sz w:val="28"/>
        </w:rPr>
        <w:t>.</w:t>
      </w:r>
      <w:r w:rsidR="00EE73AF">
        <w:rPr>
          <w:b/>
          <w:sz w:val="28"/>
        </w:rPr>
        <w:br/>
      </w:r>
      <w:r w:rsidR="005734C5" w:rsidRPr="00D25962">
        <w:rPr>
          <w:b/>
          <w:sz w:val="28"/>
        </w:rPr>
        <w:br/>
      </w:r>
    </w:p>
    <w:p w:rsidR="00E65C07" w:rsidRPr="00D25962" w:rsidRDefault="00EE73AF" w:rsidP="00EB170D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b/>
          <w:sz w:val="28"/>
        </w:rPr>
        <w:br/>
      </w:r>
    </w:p>
    <w:p w:rsidR="006A5853" w:rsidRPr="00712808" w:rsidRDefault="002E6BE3" w:rsidP="002E6BE3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 w:rsidRPr="002E6BE3">
        <w:rPr>
          <w:b/>
          <w:sz w:val="28"/>
        </w:rPr>
        <w:t>Zur Reduktion der Folgen gibt es Iod-Tabletten. Begründe die richtige Wahl des Zeitpunktes für die effektive Wirkung der Tabletten.</w:t>
      </w:r>
      <w:r w:rsidR="007E087B" w:rsidRPr="00712808">
        <w:rPr>
          <w:b/>
          <w:sz w:val="28"/>
        </w:rPr>
        <w:br/>
      </w:r>
      <w:r w:rsidR="007E087B" w:rsidRPr="00712808">
        <w:rPr>
          <w:b/>
          <w:sz w:val="28"/>
        </w:rPr>
        <w:br/>
      </w:r>
      <w:r w:rsidR="007E087B" w:rsidRPr="00712808">
        <w:rPr>
          <w:b/>
          <w:sz w:val="28"/>
        </w:rPr>
        <w:br/>
      </w:r>
      <w:r w:rsidR="00EE73AF" w:rsidRPr="00712808">
        <w:rPr>
          <w:b/>
          <w:sz w:val="28"/>
        </w:rPr>
        <w:br/>
      </w:r>
    </w:p>
    <w:p w:rsidR="00DE599A" w:rsidRDefault="00DE599A" w:rsidP="00DE599A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Nenne Maßnahmen, mit denen man im Katastrophenfall (Unfall in einem Atomkraftwerk) die Kontamination vermindern kann und erkläre ihre Funktion.</w:t>
      </w:r>
    </w:p>
    <w:p w:rsidR="00DE599A" w:rsidRDefault="00DE599A" w:rsidP="00DE599A">
      <w:pPr>
        <w:spacing w:after="0" w:line="240" w:lineRule="auto"/>
        <w:rPr>
          <w:b/>
          <w:sz w:val="28"/>
        </w:rPr>
      </w:pPr>
    </w:p>
    <w:p w:rsidR="00AD05B8" w:rsidRPr="00DE599A" w:rsidRDefault="00DE599A" w:rsidP="00DE599A">
      <w:pPr>
        <w:spacing w:after="0" w:line="240" w:lineRule="auto"/>
        <w:rPr>
          <w:b/>
          <w:sz w:val="28"/>
        </w:rPr>
      </w:pPr>
      <w:r w:rsidRPr="00DE599A">
        <w:rPr>
          <w:b/>
          <w:sz w:val="28"/>
        </w:rPr>
        <w:t xml:space="preserve"> </w:t>
      </w:r>
    </w:p>
    <w:p w:rsidR="00AE7F70" w:rsidRDefault="0014261C" w:rsidP="008B25DA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noProof/>
          <w:lang w:eastAsia="de-AT"/>
        </w:rPr>
        <w:drawing>
          <wp:inline distT="0" distB="0" distL="0" distR="0">
            <wp:extent cx="5982788" cy="3695340"/>
            <wp:effectExtent l="0" t="0" r="0" b="635"/>
            <wp:docPr id="2" name="Grafik 2" descr="http://upload.wikimedia.org/wikipedia/commons/d/d3/Chernobyl_NPP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d/d3/Chernobyl_NPP_cu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557" cy="371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C0" w:rsidRDefault="00DE599A" w:rsidP="008B25DA">
      <w:pPr>
        <w:pStyle w:val="Listenabsatz"/>
        <w:spacing w:after="0" w:line="240" w:lineRule="auto"/>
        <w:ind w:left="357"/>
        <w:rPr>
          <w:b/>
          <w:sz w:val="28"/>
        </w:rPr>
      </w:pPr>
      <w:r>
        <w:rPr>
          <w:b/>
          <w:sz w:val="28"/>
        </w:rPr>
        <w:t xml:space="preserve">Kernkraftwerk Tschernobyl </w:t>
      </w:r>
      <w:r w:rsidR="000640B6">
        <w:rPr>
          <w:b/>
          <w:sz w:val="28"/>
        </w:rPr>
        <w:t>–</w:t>
      </w:r>
      <w:r>
        <w:rPr>
          <w:b/>
          <w:sz w:val="28"/>
        </w:rPr>
        <w:t xml:space="preserve"> 2009</w:t>
      </w:r>
      <w:r w:rsidR="000640B6">
        <w:rPr>
          <w:b/>
          <w:sz w:val="28"/>
        </w:rPr>
        <w:t xml:space="preserve"> (CC-BY: </w:t>
      </w:r>
      <w:r w:rsidR="000640B6" w:rsidRPr="000640B6">
        <w:rPr>
          <w:b/>
          <w:sz w:val="28"/>
        </w:rPr>
        <w:t>Andrzej Karoń</w:t>
      </w:r>
      <w:r w:rsidR="000640B6">
        <w:rPr>
          <w:b/>
          <w:sz w:val="28"/>
        </w:rPr>
        <w:t>)</w:t>
      </w:r>
    </w:p>
    <w:p w:rsidR="00AE7F70" w:rsidRDefault="00AE7F70">
      <w:pPr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</w:t>
      </w:r>
      <w:r w:rsidR="007421EB">
        <w:t>serwartung</w:t>
      </w:r>
      <w:r>
        <w:t>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AE7F70" w:rsidRDefault="002E6BE3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Isotope unterscheiden sich durch die Anzahl der Neutronen im Kern.</w:t>
      </w:r>
    </w:p>
    <w:p w:rsidR="002E6BE3" w:rsidRDefault="002E6BE3" w:rsidP="00AE7F70">
      <w:pPr>
        <w:spacing w:after="0" w:line="240" w:lineRule="auto"/>
        <w:rPr>
          <w:sz w:val="24"/>
          <w:szCs w:val="24"/>
        </w:rPr>
      </w:pPr>
    </w:p>
    <w:p w:rsidR="002E6BE3" w:rsidRDefault="00E75745" w:rsidP="00AE7F70">
      <w:pPr>
        <w:spacing w:after="0" w:line="240" w:lineRule="auto"/>
        <w:rPr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42EBDF6E" wp14:editId="71A1E659">
            <wp:extent cx="6645910" cy="303085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E3" w:rsidRDefault="002E6BE3" w:rsidP="00AE7F70">
      <w:pPr>
        <w:spacing w:after="0" w:line="240" w:lineRule="auto"/>
        <w:rPr>
          <w:sz w:val="24"/>
          <w:szCs w:val="24"/>
        </w:rPr>
      </w:pPr>
    </w:p>
    <w:p w:rsidR="002E6BE3" w:rsidRDefault="002E6BE3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Rückfrage: Was mit dem Rest passiert =&gt; umgewandelt in Isotope eines anderen Elements, es gibt Massenerhaltung</w:t>
      </w:r>
    </w:p>
    <w:p w:rsidR="002E6BE3" w:rsidRDefault="002E6BE3" w:rsidP="00AE7F70">
      <w:pPr>
        <w:spacing w:after="0" w:line="240" w:lineRule="auto"/>
        <w:rPr>
          <w:sz w:val="24"/>
          <w:szCs w:val="24"/>
        </w:rPr>
      </w:pPr>
    </w:p>
    <w:p w:rsidR="002E6BE3" w:rsidRDefault="002E6BE3" w:rsidP="00AE7F70">
      <w:pPr>
        <w:spacing w:after="0" w:line="240" w:lineRule="auto"/>
        <w:rPr>
          <w:sz w:val="24"/>
          <w:szCs w:val="24"/>
        </w:rPr>
      </w:pPr>
    </w:p>
    <w:p w:rsidR="002E6BE3" w:rsidRDefault="002E6BE3" w:rsidP="00AE7F70">
      <w:pPr>
        <w:spacing w:after="0" w:line="240" w:lineRule="auto"/>
        <w:rPr>
          <w:sz w:val="24"/>
          <w:szCs w:val="24"/>
        </w:rPr>
      </w:pP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EE73AF" w:rsidRDefault="002E6BE3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Schilddrüse soll mit Iod gesättigt werden. Der Zeitpunkt wird von der Behörde bekanntgegeben. Werden die Kaliumjodid Tabletten zu frühgenommen, wird </w:t>
      </w:r>
      <w:r w:rsidR="00DE599A">
        <w:rPr>
          <w:sz w:val="24"/>
          <w:szCs w:val="24"/>
        </w:rPr>
        <w:t xml:space="preserve">die Sättigung der Schilddrüse schon wieder abgebaut, werden die </w:t>
      </w:r>
      <w:r w:rsidR="00755E13">
        <w:rPr>
          <w:sz w:val="24"/>
          <w:szCs w:val="24"/>
        </w:rPr>
        <w:t>Iodtabletten</w:t>
      </w:r>
      <w:r w:rsidR="00DE599A">
        <w:rPr>
          <w:sz w:val="24"/>
          <w:szCs w:val="24"/>
        </w:rPr>
        <w:t xml:space="preserve"> zu spät genommen ist das Radioaktive </w:t>
      </w:r>
      <w:r w:rsidR="00755E13">
        <w:rPr>
          <w:sz w:val="24"/>
          <w:szCs w:val="24"/>
        </w:rPr>
        <w:t>Iod-Isotop</w:t>
      </w:r>
      <w:r w:rsidR="00DE599A">
        <w:rPr>
          <w:sz w:val="24"/>
          <w:szCs w:val="24"/>
        </w:rPr>
        <w:t xml:space="preserve"> bereits in die Schilddrüse eingelagert.</w:t>
      </w:r>
    </w:p>
    <w:p w:rsidR="00DE599A" w:rsidRDefault="00DE599A" w:rsidP="00AE7F70">
      <w:pPr>
        <w:spacing w:after="0" w:line="240" w:lineRule="auto"/>
        <w:rPr>
          <w:sz w:val="24"/>
          <w:szCs w:val="24"/>
        </w:rPr>
      </w:pPr>
    </w:p>
    <w:p w:rsidR="00DE599A" w:rsidRDefault="00DE599A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Vergleich mit „Vorglühen“</w:t>
      </w:r>
      <w:r w:rsidR="00755E13">
        <w:rPr>
          <w:sz w:val="24"/>
          <w:szCs w:val="24"/>
        </w:rPr>
        <w:t xml:space="preserve"> beim Ausgehen. Der Richtige Zeitpunkt ist wichtig</w:t>
      </w:r>
      <w:r>
        <w:rPr>
          <w:sz w:val="24"/>
          <w:szCs w:val="24"/>
        </w:rPr>
        <w:t>.</w:t>
      </w:r>
    </w:p>
    <w:p w:rsidR="00111943" w:rsidRDefault="00111943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11943" w:rsidRDefault="002A6794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Strahlenschutzmaßnahmen nennen und erklären</w:t>
      </w:r>
    </w:p>
    <w:p w:rsidR="00E75745" w:rsidRDefault="00E75745" w:rsidP="00E75745">
      <w:pPr>
        <w:rPr>
          <w:sz w:val="24"/>
          <w:szCs w:val="24"/>
        </w:rPr>
      </w:pPr>
      <w:r>
        <w:rPr>
          <w:sz w:val="24"/>
          <w:szCs w:val="24"/>
        </w:rPr>
        <w:t>(Nichtbenötigte Gegenstände (Spielzeug, usw.) abdecken oder unter das Dach bringen, Tiere in das Haus/Stall bringen, Spalten an Fenstern / Türen abkleben; offene Kamine / Dunstabzug abkleben, …)</w:t>
      </w:r>
    </w:p>
    <w:p w:rsidR="007773FF" w:rsidRDefault="007773FF">
      <w:pPr>
        <w:rPr>
          <w:sz w:val="24"/>
          <w:szCs w:val="24"/>
        </w:rPr>
      </w:pPr>
    </w:p>
    <w:p w:rsidR="007773FF" w:rsidRDefault="007773FF">
      <w:pPr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21EB" w:rsidRPr="00BA5DCC" w:rsidRDefault="007421EB" w:rsidP="007421EB">
      <w:pPr>
        <w:pStyle w:val="RP-Frage-berschrift"/>
        <w:rPr>
          <w:b w:val="0"/>
        </w:rPr>
      </w:pPr>
      <w:r w:rsidRPr="00294DCF">
        <w:lastRenderedPageBreak/>
        <w:t>Information zur Frage</w:t>
      </w:r>
      <w:r>
        <w:t xml:space="preserve"> </w:t>
      </w:r>
      <w:r>
        <w:br/>
      </w:r>
      <w:r w:rsidRPr="00BA5DCC">
        <w:rPr>
          <w:b w:val="0"/>
        </w:rPr>
        <w:t>(für die persönlichen Unterlagen der Prüferin / des Prüfers und zur etwaigen Argumentation mit Kommissionsmitgliedern)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07502D" w:rsidP="00CE4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599A">
              <w:rPr>
                <w:sz w:val="24"/>
                <w:szCs w:val="24"/>
              </w:rPr>
              <w:t>, 3</w:t>
            </w:r>
          </w:p>
        </w:tc>
        <w:tc>
          <w:tcPr>
            <w:tcW w:w="3486" w:type="dxa"/>
          </w:tcPr>
          <w:p w:rsidR="00194978" w:rsidRDefault="00CE42BF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Beschreibe</w:t>
            </w:r>
            <w:r w:rsidR="00DE599A">
              <w:rPr>
                <w:sz w:val="24"/>
                <w:szCs w:val="24"/>
              </w:rPr>
              <w:t>, Nenne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DE599A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194978" w:rsidRDefault="007E087B" w:rsidP="00B05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Erkläre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DE599A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EA5E2B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Begründe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8B25DA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29.12.2014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294DCF" w:rsidP="00294DCF">
      <w:pPr>
        <w:pStyle w:val="RP-Frage-Zwischenberschrift"/>
      </w:pPr>
      <w:r w:rsidRPr="00294DCF">
        <w:t xml:space="preserve">Externe </w:t>
      </w:r>
      <w:r w:rsidR="00AE7F70"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294DCF" w:rsidTr="00EE73AF">
        <w:tc>
          <w:tcPr>
            <w:tcW w:w="2830" w:type="dxa"/>
          </w:tcPr>
          <w:p w:rsidR="00294DCF" w:rsidRDefault="0014261C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Foto: Tschernobyl</w:t>
            </w:r>
          </w:p>
        </w:tc>
        <w:tc>
          <w:tcPr>
            <w:tcW w:w="7626" w:type="dxa"/>
          </w:tcPr>
          <w:p w:rsidR="00294DCF" w:rsidRDefault="0014261C" w:rsidP="008E2E89">
            <w:pPr>
              <w:rPr>
                <w:sz w:val="24"/>
                <w:szCs w:val="24"/>
              </w:rPr>
            </w:pPr>
            <w:r w:rsidRPr="0014261C">
              <w:rPr>
                <w:sz w:val="24"/>
                <w:szCs w:val="24"/>
              </w:rPr>
              <w:t>Andrzej Karoń</w:t>
            </w:r>
            <w:r>
              <w:rPr>
                <w:sz w:val="24"/>
                <w:szCs w:val="24"/>
              </w:rPr>
              <w:t xml:space="preserve">, </w:t>
            </w:r>
            <w:r w:rsidR="000640B6" w:rsidRPr="000640B6">
              <w:rPr>
                <w:sz w:val="24"/>
                <w:szCs w:val="24"/>
              </w:rPr>
              <w:t xml:space="preserve">https://de.wikipedia.org/wiki/Datei:Chernobyl_NPP_cut.png </w:t>
            </w:r>
            <w:r w:rsidR="000640B6">
              <w:rPr>
                <w:sz w:val="24"/>
                <w:szCs w:val="24"/>
              </w:rPr>
              <w:t xml:space="preserve"> </w:t>
            </w:r>
            <w:r w:rsidR="009D0EC0">
              <w:rPr>
                <w:sz w:val="24"/>
                <w:szCs w:val="24"/>
              </w:rPr>
              <w:t>[29.12.2014]</w:t>
            </w:r>
            <w:r>
              <w:rPr>
                <w:sz w:val="24"/>
                <w:szCs w:val="24"/>
              </w:rPr>
              <w:t>, CC</w:t>
            </w:r>
            <w:r w:rsidR="000640B6">
              <w:rPr>
                <w:sz w:val="24"/>
                <w:szCs w:val="24"/>
              </w:rPr>
              <w:t xml:space="preserve"> BY 2.0</w:t>
            </w:r>
            <w:r>
              <w:rPr>
                <w:sz w:val="24"/>
                <w:szCs w:val="24"/>
              </w:rPr>
              <w:t xml:space="preserve"> - Lizenz</w:t>
            </w:r>
          </w:p>
        </w:tc>
      </w:tr>
      <w:tr w:rsidR="00294DCF" w:rsidTr="00EE73AF">
        <w:tc>
          <w:tcPr>
            <w:tcW w:w="2830" w:type="dxa"/>
          </w:tcPr>
          <w:p w:rsidR="00294DCF" w:rsidRDefault="00E75745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Diagramm:</w:t>
            </w:r>
          </w:p>
        </w:tc>
        <w:tc>
          <w:tcPr>
            <w:tcW w:w="7626" w:type="dxa"/>
          </w:tcPr>
          <w:p w:rsidR="00294DCF" w:rsidRDefault="00E75745" w:rsidP="0029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Saurer, www.infografiker.at</w:t>
            </w: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EE73AF">
        <w:tc>
          <w:tcPr>
            <w:tcW w:w="2830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626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sectPr w:rsidR="00AE7F70" w:rsidRPr="00AE7F70" w:rsidSect="009124A4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997" w:rsidRDefault="00F67997" w:rsidP="009124A4">
      <w:pPr>
        <w:spacing w:after="0" w:line="240" w:lineRule="auto"/>
      </w:pPr>
      <w:r>
        <w:separator/>
      </w:r>
    </w:p>
  </w:endnote>
  <w:endnote w:type="continuationSeparator" w:id="0">
    <w:p w:rsidR="00F67997" w:rsidRDefault="00F67997" w:rsidP="0091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4A4" w:rsidRPr="006C4224" w:rsidRDefault="009124A4" w:rsidP="009124A4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>Friedrich Saurer</w:t>
    </w:r>
    <w:r>
      <w:tab/>
    </w:r>
    <w:r>
      <w:fldChar w:fldCharType="begin"/>
    </w:r>
    <w:r>
      <w:instrText>PAGE   \* MERGEFORMAT</w:instrText>
    </w:r>
    <w:r>
      <w:fldChar w:fldCharType="separate"/>
    </w:r>
    <w:r w:rsidR="00116652" w:rsidRPr="00116652">
      <w:rPr>
        <w:noProof/>
        <w:lang w:val="de-DE"/>
      </w:rPr>
      <w:t>2</w:t>
    </w:r>
    <w:r>
      <w:fldChar w:fldCharType="end"/>
    </w:r>
    <w:r>
      <w:tab/>
      <w:t xml:space="preserve">© </w:t>
    </w:r>
    <w:hyperlink r:id="rId1" w:history="1">
      <w:r w:rsidRPr="002011A1">
        <w:rPr>
          <w:rStyle w:val="Hyperlink"/>
        </w:rPr>
        <w:t>www.leichter-unterrichten.com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997" w:rsidRDefault="00F67997" w:rsidP="009124A4">
      <w:pPr>
        <w:spacing w:after="0" w:line="240" w:lineRule="auto"/>
      </w:pPr>
      <w:r>
        <w:separator/>
      </w:r>
    </w:p>
  </w:footnote>
  <w:footnote w:type="continuationSeparator" w:id="0">
    <w:p w:rsidR="00F67997" w:rsidRDefault="00F67997" w:rsidP="00912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2201"/>
    <w:multiLevelType w:val="hybridMultilevel"/>
    <w:tmpl w:val="7424F18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F"/>
    <w:rsid w:val="000640B6"/>
    <w:rsid w:val="000725BE"/>
    <w:rsid w:val="0007502D"/>
    <w:rsid w:val="000A0F44"/>
    <w:rsid w:val="00111943"/>
    <w:rsid w:val="00116652"/>
    <w:rsid w:val="00123873"/>
    <w:rsid w:val="0014261C"/>
    <w:rsid w:val="00194978"/>
    <w:rsid w:val="00213D4A"/>
    <w:rsid w:val="0025640F"/>
    <w:rsid w:val="00294DCF"/>
    <w:rsid w:val="00295058"/>
    <w:rsid w:val="002A6794"/>
    <w:rsid w:val="002E6BE3"/>
    <w:rsid w:val="00351B2F"/>
    <w:rsid w:val="00395C53"/>
    <w:rsid w:val="004335DE"/>
    <w:rsid w:val="00505C0A"/>
    <w:rsid w:val="00563D3B"/>
    <w:rsid w:val="005734C5"/>
    <w:rsid w:val="00576FE2"/>
    <w:rsid w:val="00595955"/>
    <w:rsid w:val="006A5853"/>
    <w:rsid w:val="006C5C3B"/>
    <w:rsid w:val="006E4CEC"/>
    <w:rsid w:val="0070649E"/>
    <w:rsid w:val="00712808"/>
    <w:rsid w:val="007421EB"/>
    <w:rsid w:val="00752782"/>
    <w:rsid w:val="00755E13"/>
    <w:rsid w:val="00770EA0"/>
    <w:rsid w:val="007773FF"/>
    <w:rsid w:val="007E087B"/>
    <w:rsid w:val="008B25DA"/>
    <w:rsid w:val="008E29C6"/>
    <w:rsid w:val="008E2E89"/>
    <w:rsid w:val="009124A4"/>
    <w:rsid w:val="009D0EC0"/>
    <w:rsid w:val="00A66319"/>
    <w:rsid w:val="00AD05B8"/>
    <w:rsid w:val="00AE7F70"/>
    <w:rsid w:val="00B051FE"/>
    <w:rsid w:val="00B2794A"/>
    <w:rsid w:val="00B66BB4"/>
    <w:rsid w:val="00C340FD"/>
    <w:rsid w:val="00C62DB8"/>
    <w:rsid w:val="00C734AD"/>
    <w:rsid w:val="00CE42BF"/>
    <w:rsid w:val="00D25962"/>
    <w:rsid w:val="00D5236B"/>
    <w:rsid w:val="00D6255D"/>
    <w:rsid w:val="00DE599A"/>
    <w:rsid w:val="00E32E7A"/>
    <w:rsid w:val="00E65C07"/>
    <w:rsid w:val="00E75745"/>
    <w:rsid w:val="00EA5E2B"/>
    <w:rsid w:val="00EB170D"/>
    <w:rsid w:val="00EE73AF"/>
    <w:rsid w:val="00EF0EAD"/>
    <w:rsid w:val="00F127B2"/>
    <w:rsid w:val="00F169EB"/>
    <w:rsid w:val="00F17050"/>
    <w:rsid w:val="00F67997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472E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1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24A4"/>
  </w:style>
  <w:style w:type="paragraph" w:styleId="Fuzeile">
    <w:name w:val="footer"/>
    <w:basedOn w:val="Standard"/>
    <w:link w:val="FuzeileZchn"/>
    <w:uiPriority w:val="99"/>
    <w:unhideWhenUsed/>
    <w:rsid w:val="0091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5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493DC-0C73-4223-9DBE-4DE050E5622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DE230EC2-9181-4802-AAE2-EFC7D8A1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0</TotalTime>
  <Pages>3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f-5</cp:lastModifiedBy>
  <cp:revision>15</cp:revision>
  <dcterms:created xsi:type="dcterms:W3CDTF">2014-12-29T21:10:00Z</dcterms:created>
  <dcterms:modified xsi:type="dcterms:W3CDTF">2017-07-06T22:10:00Z</dcterms:modified>
</cp:coreProperties>
</file>